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98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98590"/>
                    </a:xfrm>
                    <a:prstGeom prst="rect">
                      <a:avLst/>
                    </a:prstGeom>
                    <a:noFill/>
                  </pic:spPr>
                </pic:pic>
              </a:graphicData>
            </a:graphic>
          </wp:anchor>
        </w:drawing>
      </w:r>
    </w:p>
    <w:p>
      <w:pPr>
        <w:spacing w:after="0" w:line="1222" w:lineRule="exact"/>
        <w:rPr>
          <w:sz w:val="24"/>
          <w:szCs w:val="24"/>
          <w:color w:val="auto"/>
        </w:rPr>
      </w:pPr>
    </w:p>
    <w:p>
      <w:pPr>
        <w:sectPr>
          <w:pgSz w:w="11900" w:h="16892"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Mink Brook Asset Management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DLH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DLHC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gridSpan w:val="2"/>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201 SUMMA STREET</w:t>
            </w: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92" w:orient="portrait"/>
          <w:cols w:equalWidth="0" w:num="1">
            <w:col w:w="11080"/>
          </w:cols>
          <w:pgMar w:left="460" w:top="219" w:right="359" w:bottom="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WEST PALM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33405</w:t>
            </w:r>
          </w:p>
        </w:tc>
        <w:tc>
          <w:tcPr>
            <w:tcW w:w="0" w:type="dxa"/>
            <w:vAlign w:val="bottom"/>
          </w:tcPr>
          <w:p>
            <w:pPr>
              <w:spacing w:after="0"/>
              <w:rPr>
                <w:sz w:val="1"/>
                <w:szCs w:val="1"/>
                <w:color w:val="auto"/>
              </w:rPr>
            </w:pPr>
          </w:p>
        </w:tc>
      </w:tr>
      <w:tr>
        <w:trPr>
          <w:trHeight w:val="120"/>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92"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06/08/2026</w:t>
            </w:r>
          </w:p>
        </w:tc>
        <w:tc>
          <w:tcPr>
            <w:tcW w:w="7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right"/>
              <w:ind w:right="307"/>
              <w:spacing w:after="0"/>
              <w:rPr>
                <w:sz w:val="20"/>
                <w:szCs w:val="20"/>
                <w:color w:val="auto"/>
              </w:rPr>
            </w:pPr>
            <w:r>
              <w:rPr>
                <w:rFonts w:ascii="Times New Roman" w:cs="Times New Roman" w:eastAsia="Times New Roman" w:hAnsi="Times New Roman"/>
                <w:sz w:val="17"/>
                <w:szCs w:val="17"/>
                <w:color w:val="0000FF"/>
              </w:rPr>
              <w:t>49</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5.5</w:t>
            </w:r>
            <w:r>
              <w:rPr>
                <w:rFonts w:ascii="Times New Roman" w:cs="Times New Roman" w:eastAsia="Times New Roman" w:hAnsi="Times New Roman"/>
                <w:sz w:val="22"/>
                <w:szCs w:val="22"/>
                <w:color w:val="008000"/>
                <w:w w:val="96"/>
                <w:vertAlign w:val="superscript"/>
              </w:rPr>
              <w:t>(1)</w:t>
            </w:r>
          </w:p>
        </w:tc>
        <w:tc>
          <w:tcPr>
            <w:tcW w:w="80" w:type="dxa"/>
            <w:vAlign w:val="bottom"/>
          </w:tcPr>
          <w:p>
            <w:pPr>
              <w:spacing w:after="0"/>
              <w:rPr>
                <w:sz w:val="18"/>
                <w:szCs w:val="18"/>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color w:val="0000FF"/>
              </w:rPr>
              <w:t>2,072,621</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90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80" w:type="dxa"/>
            <w:vAlign w:val="bottom"/>
            <w:gridSpan w:val="3"/>
            <w:vMerge w:val="continue"/>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06/09/2026</w:t>
            </w:r>
          </w:p>
        </w:tc>
        <w:tc>
          <w:tcPr>
            <w:tcW w:w="7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right"/>
              <w:ind w:right="307"/>
              <w:spacing w:after="0"/>
              <w:rPr>
                <w:sz w:val="20"/>
                <w:szCs w:val="20"/>
                <w:color w:val="auto"/>
              </w:rPr>
            </w:pPr>
            <w:r>
              <w:rPr>
                <w:rFonts w:ascii="Times New Roman" w:cs="Times New Roman" w:eastAsia="Times New Roman" w:hAnsi="Times New Roman"/>
                <w:sz w:val="17"/>
                <w:szCs w:val="17"/>
                <w:color w:val="0000FF"/>
              </w:rPr>
              <w:t>71</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5.5</w:t>
            </w:r>
            <w:r>
              <w:rPr>
                <w:rFonts w:ascii="Times New Roman" w:cs="Times New Roman" w:eastAsia="Times New Roman" w:hAnsi="Times New Roman"/>
                <w:sz w:val="22"/>
                <w:szCs w:val="22"/>
                <w:color w:val="008000"/>
                <w:w w:val="96"/>
                <w:vertAlign w:val="superscript"/>
              </w:rPr>
              <w:t>(1)</w:t>
            </w:r>
          </w:p>
        </w:tc>
        <w:tc>
          <w:tcPr>
            <w:tcW w:w="80" w:type="dxa"/>
            <w:vAlign w:val="bottom"/>
          </w:tcPr>
          <w:p>
            <w:pPr>
              <w:spacing w:after="0"/>
              <w:rPr>
                <w:sz w:val="18"/>
                <w:szCs w:val="18"/>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color w:val="0000FF"/>
              </w:rPr>
              <w:t>2,072,692</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90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80" w:type="dxa"/>
            <w:vAlign w:val="bottom"/>
            <w:gridSpan w:val="3"/>
            <w:vMerge w:val="continue"/>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7"/>
                <w:szCs w:val="17"/>
                <w:color w:val="0000FF"/>
              </w:rPr>
              <w:t>694,322</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8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80" w:type="dxa"/>
            <w:vAlign w:val="bottom"/>
            <w:gridSpan w:val="3"/>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4"/>
            <w:vMerge w:val="restart"/>
          </w:tcPr>
          <w:p>
            <w:pPr>
              <w:ind w:left="460"/>
              <w:spacing w:after="0" w:line="210" w:lineRule="exact"/>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320" w:type="dxa"/>
            <w:vAlign w:val="bottom"/>
            <w:tcBorders>
              <w:bottom w:val="single" w:sz="8" w:color="2C2C2C"/>
            </w:tcBorders>
            <w:gridSpan w:val="8"/>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940" w:type="dxa"/>
            <w:vAlign w:val="bottom"/>
            <w:tcBorders>
              <w:top w:val="single" w:sz="8" w:color="2C2C2C"/>
            </w:tcBorders>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8"/>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a price of $5.50 inclusive. The reporting person undertakes to provide, upon request by the SEC staff, the issuer, or a security holder of the issuer, full information regarding the number of shares bought at each price.</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Mink Brook Partners LP (the "Fund"). As the investment manager of the Fund, Mink Brook Asset Management LLC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Mink Brook Opportunity Fund LP (the "Fund"). As the investment manager of the Fund, Mink Brook Asset Management LLC may be deemed to beneficially own the securities owned directly by the Fund.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7"/>
                <w:szCs w:val="17"/>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William Mueller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06/09/2026</w:t>
            </w:r>
          </w:p>
        </w:tc>
      </w:tr>
      <w:tr>
        <w:trPr>
          <w:trHeight w:val="20"/>
        </w:trPr>
        <w:tc>
          <w:tcPr>
            <w:tcW w:w="6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92"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2205" TargetMode="External"/><Relationship Id="rId14" Type="http://schemas.openxmlformats.org/officeDocument/2006/relationships/hyperlink" Target="http://www.sec.gov/cgi-bin/browse-edgar?action=getcompany&amp;CIK=0000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2026-06-09T15:44:15Z</dcterms:created>
  <dcterms:modified xsi:type="dcterms:W3CDTF">2026-06-09T15:44:15Z</dcterms:modified>
</cp:coreProperties>
</file>