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98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98590"/>
                    </a:xfrm>
                    <a:prstGeom prst="rect">
                      <a:avLst/>
                    </a:prstGeom>
                    <a:noFill/>
                  </pic:spPr>
                </pic:pic>
              </a:graphicData>
            </a:graphic>
          </wp:anchor>
        </w:drawing>
      </w:r>
    </w:p>
    <w:p>
      <w:pPr>
        <w:spacing w:after="0" w:line="1222" w:lineRule="exact"/>
        <w:rPr>
          <w:sz w:val="24"/>
          <w:szCs w:val="24"/>
          <w:color w:val="auto"/>
        </w:rPr>
      </w:pPr>
    </w:p>
    <w:p>
      <w:pPr>
        <w:sectPr>
          <w:pgSz w:w="11900" w:h="16892"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Mink Brook Asset Management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DLH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DLHC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1600" w:type="dxa"/>
            <w:vAlign w:val="bottom"/>
            <w:gridSpan w:val="2"/>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201 SUMMA STREET</w:t>
            </w: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92" w:orient="portrait"/>
          <w:cols w:equalWidth="0" w:num="1">
            <w:col w:w="11080"/>
          </w:cols>
          <w:pgMar w:left="460" w:top="219" w:right="359" w:bottom="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WEST PALM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33405</w:t>
            </w:r>
          </w:p>
        </w:tc>
        <w:tc>
          <w:tcPr>
            <w:tcW w:w="0" w:type="dxa"/>
            <w:vAlign w:val="bottom"/>
          </w:tcPr>
          <w:p>
            <w:pPr>
              <w:spacing w:after="0"/>
              <w:rPr>
                <w:sz w:val="1"/>
                <w:szCs w:val="1"/>
                <w:color w:val="auto"/>
              </w:rPr>
            </w:pPr>
          </w:p>
        </w:tc>
      </w:tr>
      <w:tr>
        <w:trPr>
          <w:trHeight w:val="120"/>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92"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Mink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9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06/18/2026</w:t>
            </w:r>
          </w:p>
        </w:tc>
        <w:tc>
          <w:tcPr>
            <w:tcW w:w="7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right"/>
              <w:ind w:right="207"/>
              <w:spacing w:after="0"/>
              <w:rPr>
                <w:sz w:val="20"/>
                <w:szCs w:val="20"/>
                <w:color w:val="auto"/>
              </w:rPr>
            </w:pPr>
            <w:r>
              <w:rPr>
                <w:rFonts w:ascii="Times New Roman" w:cs="Times New Roman" w:eastAsia="Times New Roman" w:hAnsi="Times New Roman"/>
                <w:sz w:val="17"/>
                <w:szCs w:val="17"/>
                <w:color w:val="0000FF"/>
              </w:rPr>
              <w:t>6,460</w:t>
            </w: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1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5.5</w:t>
            </w:r>
            <w:r>
              <w:rPr>
                <w:rFonts w:ascii="Times New Roman" w:cs="Times New Roman" w:eastAsia="Times New Roman" w:hAnsi="Times New Roman"/>
                <w:sz w:val="22"/>
                <w:szCs w:val="22"/>
                <w:color w:val="008000"/>
                <w:w w:val="96"/>
                <w:vertAlign w:val="superscript"/>
              </w:rPr>
              <w:t>(1)</w:t>
            </w:r>
          </w:p>
        </w:tc>
        <w:tc>
          <w:tcPr>
            <w:tcW w:w="80" w:type="dxa"/>
            <w:vAlign w:val="bottom"/>
          </w:tcPr>
          <w:p>
            <w:pPr>
              <w:spacing w:after="0"/>
              <w:rPr>
                <w:sz w:val="18"/>
                <w:szCs w:val="18"/>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7"/>
                <w:szCs w:val="17"/>
                <w:color w:val="0000FF"/>
              </w:rPr>
              <w:t>2,087,457</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Brook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90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80" w:type="dxa"/>
            <w:vAlign w:val="bottom"/>
            <w:gridSpan w:val="3"/>
            <w:vMerge w:val="continue"/>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4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Mink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9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06/22/2026</w:t>
            </w:r>
          </w:p>
        </w:tc>
        <w:tc>
          <w:tcPr>
            <w:tcW w:w="7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7"/>
                <w:szCs w:val="17"/>
                <w:color w:val="0000FF"/>
              </w:rPr>
              <w:t>624</w:t>
            </w: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1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5.5</w:t>
            </w:r>
            <w:r>
              <w:rPr>
                <w:rFonts w:ascii="Times New Roman" w:cs="Times New Roman" w:eastAsia="Times New Roman" w:hAnsi="Times New Roman"/>
                <w:sz w:val="22"/>
                <w:szCs w:val="22"/>
                <w:color w:val="008000"/>
                <w:w w:val="96"/>
                <w:vertAlign w:val="superscript"/>
              </w:rPr>
              <w:t>(1)</w:t>
            </w:r>
          </w:p>
        </w:tc>
        <w:tc>
          <w:tcPr>
            <w:tcW w:w="80" w:type="dxa"/>
            <w:vAlign w:val="bottom"/>
          </w:tcPr>
          <w:p>
            <w:pPr>
              <w:spacing w:after="0"/>
              <w:rPr>
                <w:sz w:val="18"/>
                <w:szCs w:val="18"/>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7"/>
                <w:szCs w:val="17"/>
                <w:color w:val="0000FF"/>
              </w:rPr>
              <w:t>2,088,081</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Brook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90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80" w:type="dxa"/>
            <w:vAlign w:val="bottom"/>
            <w:gridSpan w:val="3"/>
            <w:vMerge w:val="continue"/>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4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Mink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7"/>
                <w:szCs w:val="17"/>
                <w:color w:val="0000FF"/>
              </w:rPr>
              <w:t>694,322</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Brook</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8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80" w:type="dxa"/>
            <w:vAlign w:val="bottom"/>
            <w:gridSpan w:val="3"/>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4"/>
            <w:vMerge w:val="restart"/>
          </w:tcPr>
          <w:p>
            <w:pPr>
              <w:ind w:left="460"/>
              <w:spacing w:after="0" w:line="210" w:lineRule="exact"/>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6320" w:type="dxa"/>
            <w:vAlign w:val="bottom"/>
            <w:tcBorders>
              <w:bottom w:val="single" w:sz="8" w:color="2C2C2C"/>
            </w:tcBorders>
            <w:gridSpan w:val="8"/>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940" w:type="dxa"/>
            <w:vAlign w:val="bottom"/>
            <w:tcBorders>
              <w:top w:val="single" w:sz="8" w:color="2C2C2C"/>
            </w:tcBorders>
            <w:gridSpan w:val="11"/>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8"/>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10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a price of $5.50 inclusive. The reporting person undertakes to provide, upon request by the SEC staff, the issuer, or a security holder of the issuer, full information regarding the number of shares bought at each price.</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Mink Brook Partners LP (the "Fund"). As the investment manager of the Fund, Mink Brook Asset Management LLC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Mink Brook Opportunity Fund LP (the "Fund"). As the investment manager of the Fund, Mink Brook Asset Management LLC may be deemed to beneficially own the securities owned directly by the Fund.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7"/>
                <w:szCs w:val="17"/>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William Mueller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06/22/2026</w:t>
            </w:r>
          </w:p>
        </w:tc>
      </w:tr>
      <w:tr>
        <w:trPr>
          <w:trHeight w:val="20"/>
        </w:trPr>
        <w:tc>
          <w:tcPr>
            <w:tcW w:w="6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92"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2205" TargetMode="External"/><Relationship Id="rId14" Type="http://schemas.openxmlformats.org/officeDocument/2006/relationships/hyperlink" Target="http://www.sec.gov/cgi-bin/browse-edgar?action=getcompany&amp;CIK=0000785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2026-06-22T16:04:35Z</dcterms:created>
  <dcterms:modified xsi:type="dcterms:W3CDTF">2026-06-22T16:04:35Z</dcterms:modified>
</cp:coreProperties>
</file>