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583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58304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Mink Brook Asset Management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DLH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DLHC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00"/>
              <w:spacing w:after="0"/>
              <w:rPr>
                <w:sz w:val="20"/>
                <w:szCs w:val="20"/>
                <w:color w:val="auto"/>
              </w:rPr>
            </w:pPr>
            <w:r>
              <w:rPr>
                <w:rFonts w:ascii="Arial" w:cs="Arial" w:eastAsia="Arial" w:hAnsi="Arial"/>
                <w:sz w:val="13"/>
                <w:szCs w:val="13"/>
                <w:color w:val="auto"/>
              </w:rPr>
              <w:t>(First)</w:t>
            </w:r>
          </w:p>
        </w:tc>
        <w:tc>
          <w:tcPr>
            <w:tcW w:w="1600" w:type="dxa"/>
            <w:vAlign w:val="bottom"/>
            <w:gridSpan w:val="2"/>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06/25/2026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201 SUMMA STREET</w:t>
            </w: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WEST PALM</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33405</w:t>
            </w:r>
          </w:p>
        </w:tc>
        <w:tc>
          <w:tcPr>
            <w:tcW w:w="0" w:type="dxa"/>
            <w:vAlign w:val="bottom"/>
          </w:tcPr>
          <w:p>
            <w:pPr>
              <w:spacing w:after="0"/>
              <w:rPr>
                <w:sz w:val="1"/>
                <w:szCs w:val="1"/>
                <w:color w:val="auto"/>
              </w:rPr>
            </w:pPr>
          </w:p>
        </w:tc>
      </w:tr>
      <w:tr>
        <w:trPr>
          <w:trHeight w:val="120"/>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760" w:type="dxa"/>
            <w:vAlign w:val="bottom"/>
            <w:tcBorders>
              <w:top w:val="single" w:sz="8" w:color="2C2C2C"/>
            </w:tcBorders>
          </w:tcPr>
          <w:p>
            <w:pPr>
              <w:spacing w:after="0"/>
              <w:rPr>
                <w:sz w:val="7"/>
                <w:szCs w:val="7"/>
                <w:color w:val="auto"/>
              </w:rPr>
            </w:pPr>
          </w:p>
        </w:tc>
        <w:tc>
          <w:tcPr>
            <w:tcW w:w="10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6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7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By Mink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9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06/25/2026</w:t>
            </w:r>
          </w:p>
        </w:tc>
        <w:tc>
          <w:tcPr>
            <w:tcW w:w="800" w:type="dxa"/>
            <w:vAlign w:val="bottom"/>
            <w:vMerge w:val="restart"/>
          </w:tcPr>
          <w:p>
            <w:pPr>
              <w:ind w:left="720"/>
              <w:spacing w:after="0"/>
              <w:rPr>
                <w:sz w:val="20"/>
                <w:szCs w:val="20"/>
                <w:color w:val="auto"/>
              </w:rPr>
            </w:pPr>
            <w:r>
              <w:rPr>
                <w:rFonts w:ascii="Times New Roman" w:cs="Times New Roman" w:eastAsia="Times New Roman" w:hAnsi="Times New Roman"/>
                <w:sz w:val="13"/>
                <w:szCs w:val="13"/>
                <w:color w:val="0000FF"/>
                <w:w w:val="82"/>
              </w:rPr>
              <w:t>P</w:t>
            </w:r>
          </w:p>
        </w:tc>
        <w:tc>
          <w:tcPr>
            <w:tcW w:w="680" w:type="dxa"/>
            <w:vAlign w:val="bottom"/>
          </w:tcPr>
          <w:p>
            <w:pPr>
              <w:spacing w:after="0"/>
              <w:rPr>
                <w:sz w:val="18"/>
                <w:szCs w:val="18"/>
                <w:color w:val="auto"/>
              </w:rPr>
            </w:pPr>
          </w:p>
        </w:tc>
        <w:tc>
          <w:tcPr>
            <w:tcW w:w="760" w:type="dxa"/>
            <w:vAlign w:val="bottom"/>
            <w:vMerge w:val="restart"/>
          </w:tcPr>
          <w:p>
            <w:pPr>
              <w:jc w:val="right"/>
              <w:ind w:right="247"/>
              <w:spacing w:after="0"/>
              <w:rPr>
                <w:sz w:val="20"/>
                <w:szCs w:val="20"/>
                <w:color w:val="auto"/>
              </w:rPr>
            </w:pPr>
            <w:r>
              <w:rPr>
                <w:rFonts w:ascii="Times New Roman" w:cs="Times New Roman" w:eastAsia="Times New Roman" w:hAnsi="Times New Roman"/>
                <w:sz w:val="17"/>
                <w:szCs w:val="17"/>
                <w:color w:val="0000FF"/>
              </w:rPr>
              <w:t>9,343</w:t>
            </w: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w:t>
            </w:r>
            <w:r>
              <w:rPr>
                <w:rFonts w:ascii="Times New Roman" w:cs="Times New Roman" w:eastAsia="Times New Roman" w:hAnsi="Times New Roman"/>
                <w:sz w:val="22"/>
                <w:szCs w:val="22"/>
                <w:color w:val="008000"/>
                <w:vertAlign w:val="superscript"/>
              </w:rPr>
              <w:t>(1)</w:t>
            </w:r>
          </w:p>
        </w:tc>
        <w:tc>
          <w:tcPr>
            <w:tcW w:w="80" w:type="dxa"/>
            <w:vAlign w:val="bottom"/>
          </w:tcPr>
          <w:p>
            <w:pPr>
              <w:spacing w:after="0"/>
              <w:rPr>
                <w:sz w:val="18"/>
                <w:szCs w:val="18"/>
                <w:color w:val="auto"/>
              </w:rPr>
            </w:pPr>
          </w:p>
        </w:tc>
        <w:tc>
          <w:tcPr>
            <w:tcW w:w="15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7"/>
                <w:szCs w:val="17"/>
                <w:color w:val="0000FF"/>
              </w:rPr>
              <w:t>2,101,273</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Brook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90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80" w:type="dxa"/>
            <w:vAlign w:val="bottom"/>
            <w:gridSpan w:val="3"/>
            <w:vMerge w:val="continue"/>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4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By Mink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9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06/26/2026</w:t>
            </w:r>
          </w:p>
        </w:tc>
        <w:tc>
          <w:tcPr>
            <w:tcW w:w="800" w:type="dxa"/>
            <w:vAlign w:val="bottom"/>
            <w:vMerge w:val="restart"/>
          </w:tcPr>
          <w:p>
            <w:pPr>
              <w:ind w:left="720"/>
              <w:spacing w:after="0"/>
              <w:rPr>
                <w:sz w:val="20"/>
                <w:szCs w:val="20"/>
                <w:color w:val="auto"/>
              </w:rPr>
            </w:pPr>
            <w:r>
              <w:rPr>
                <w:rFonts w:ascii="Times New Roman" w:cs="Times New Roman" w:eastAsia="Times New Roman" w:hAnsi="Times New Roman"/>
                <w:sz w:val="13"/>
                <w:szCs w:val="13"/>
                <w:color w:val="0000FF"/>
                <w:w w:val="82"/>
              </w:rPr>
              <w:t>P</w:t>
            </w:r>
          </w:p>
        </w:tc>
        <w:tc>
          <w:tcPr>
            <w:tcW w:w="680" w:type="dxa"/>
            <w:vAlign w:val="bottom"/>
          </w:tcPr>
          <w:p>
            <w:pPr>
              <w:spacing w:after="0"/>
              <w:rPr>
                <w:sz w:val="18"/>
                <w:szCs w:val="18"/>
                <w:color w:val="auto"/>
              </w:rPr>
            </w:pPr>
          </w:p>
        </w:tc>
        <w:tc>
          <w:tcPr>
            <w:tcW w:w="760" w:type="dxa"/>
            <w:vAlign w:val="bottom"/>
            <w:vMerge w:val="restart"/>
          </w:tcPr>
          <w:p>
            <w:pPr>
              <w:jc w:val="right"/>
              <w:ind w:right="207"/>
              <w:spacing w:after="0"/>
              <w:rPr>
                <w:sz w:val="20"/>
                <w:szCs w:val="20"/>
                <w:color w:val="auto"/>
              </w:rPr>
            </w:pPr>
            <w:r>
              <w:rPr>
                <w:rFonts w:ascii="Times New Roman" w:cs="Times New Roman" w:eastAsia="Times New Roman" w:hAnsi="Times New Roman"/>
                <w:sz w:val="17"/>
                <w:szCs w:val="17"/>
                <w:color w:val="0000FF"/>
                <w:w w:val="98"/>
              </w:rPr>
              <w:t>15,280</w:t>
            </w: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5.275</w:t>
            </w:r>
            <w:r>
              <w:rPr>
                <w:rFonts w:ascii="Times New Roman" w:cs="Times New Roman" w:eastAsia="Times New Roman" w:hAnsi="Times New Roman"/>
                <w:sz w:val="22"/>
                <w:szCs w:val="22"/>
                <w:color w:val="008000"/>
                <w:w w:val="98"/>
                <w:vertAlign w:val="superscript"/>
              </w:rPr>
              <w:t>(4)</w:t>
            </w:r>
          </w:p>
        </w:tc>
        <w:tc>
          <w:tcPr>
            <w:tcW w:w="15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7"/>
                <w:szCs w:val="17"/>
                <w:color w:val="0000FF"/>
              </w:rPr>
              <w:t>2,116,553</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Brook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90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80" w:type="dxa"/>
            <w:vAlign w:val="bottom"/>
            <w:gridSpan w:val="3"/>
            <w:vMerge w:val="continue"/>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4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By Mink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7"/>
                <w:szCs w:val="17"/>
                <w:color w:val="0000FF"/>
              </w:rPr>
              <w:t>694,322</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Brook</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80" w:type="dxa"/>
            <w:vAlign w:val="bottom"/>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80" w:type="dxa"/>
            <w:vAlign w:val="bottom"/>
            <w:gridSpan w:val="3"/>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gridSpan w:val="4"/>
            <w:vMerge w:val="restart"/>
          </w:tcPr>
          <w:p>
            <w:pPr>
              <w:ind w:left="460"/>
              <w:spacing w:after="0" w:line="210" w:lineRule="exact"/>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6320" w:type="dxa"/>
            <w:vAlign w:val="bottom"/>
            <w:tcBorders>
              <w:bottom w:val="single" w:sz="8" w:color="2C2C2C"/>
            </w:tcBorders>
            <w:gridSpan w:val="8"/>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940" w:type="dxa"/>
            <w:vAlign w:val="bottom"/>
            <w:tcBorders>
              <w:top w:val="single" w:sz="8" w:color="2C2C2C"/>
            </w:tcBorders>
            <w:gridSpan w:val="11"/>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8"/>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10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80" w:type="dxa"/>
            <w:vAlign w:val="bottom"/>
          </w:tcPr>
          <w:p>
            <w:pPr>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a price of $5.50 inclusive. The reporting person undertakes to provide, upon request by the SEC staff, the issuer, or a security holder of the issuer, full information regarding the number of shares bought at each price.</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Mink Brook Partners LP (the "Fund"). As the investment manager of the Fund, Mink Brook Asset Management LLC may be deemed to beneficially own the securities owned directly by the Fund.</w:t>
      </w:r>
    </w:p>
    <w:p>
      <w:pPr>
        <w:spacing w:after="0" w:line="7"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$5.13 to $5.42 inclusive. The reporting person undertakes to provide, upon request by the SEC staff, the issuer, or a security holder of the issuer, full information regarding the number of shares bought at each price.</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Mink Brook Opportunity Fund LP (the "Fund"). As the investment manager of the Fund, Mink Brook Asset Management LLC may be deemed to beneficially own the securities owned directly by the Fund.</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William Mueller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06/26/2026</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2205" TargetMode="External"/><Relationship Id="rId14" Type="http://schemas.openxmlformats.org/officeDocument/2006/relationships/hyperlink" Target="http://www.sec.gov/cgi-bin/browse-edgar?action=getcompany&amp;CIK=0000785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2026-06-26T17:19:08Z</dcterms:created>
  <dcterms:modified xsi:type="dcterms:W3CDTF">2026-06-26T17:19:08Z</dcterms:modified>
</cp:coreProperties>
</file>