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295100.xml.htm"/>
      <w:bookmarkStart w:id="1" w:name="kswkform4_17812951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Mink Brook Asset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 SUMMA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DLH Holdings Corp.</w:t>
              </w:r>
            </w:hyperlink>
            <w:r>
              <w:rPr/>
              <w:t xml:space="preserve"> [ </w:t>
            </w:r>
            <w:r>
              <w:rPr>
                <w:rFonts w:ascii="Times;serif" w:hAnsi="Times;serif"/>
                <w:color w:val="0000FF"/>
                <w:sz w:val="24"/>
                <w:shd w:fill="FFFFFF" w:val="clear"/>
              </w:rPr>
              <w:t>DLHC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30"/>
        <w:gridCol w:w="799"/>
        <w:gridCol w:w="617"/>
        <w:gridCol w:w="343"/>
        <w:gridCol w:w="815"/>
        <w:gridCol w:w="422"/>
        <w:gridCol w:w="603"/>
        <w:gridCol w:w="1259"/>
        <w:gridCol w:w="972"/>
        <w:gridCol w:w="13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1,713</w:t>
            </w:r>
          </w:p>
        </w:tc>
        <w:tc>
          <w:tcPr>
            <w:tcW w:w="4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5.5</w:t>
            </w:r>
            <w:r>
              <w:rPr>
                <w:rFonts w:ascii="Times;serif" w:hAnsi="Times;serif"/>
                <w:color w:val="008000"/>
                <w:position w:val="7"/>
                <w:sz w:val="16"/>
                <w:sz w:val="20"/>
                <w:shd w:fill="FFFFFF" w:val="clear"/>
              </w:rPr>
              <w:t>(1)</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2,074,405</w:t>
            </w:r>
          </w:p>
        </w:tc>
        <w:tc>
          <w:tcPr>
            <w:tcW w:w="9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Partners LP</w:t>
            </w:r>
            <w:r>
              <w:rPr>
                <w:rFonts w:ascii="Times;serif" w:hAnsi="Times;serif"/>
                <w:color w:val="008000"/>
                <w:position w:val="7"/>
                <w:sz w:val="16"/>
                <w:sz w:val="20"/>
                <w:shd w:fill="FFFFFF" w:val="clear"/>
              </w:rPr>
              <w:t>(2)(3)</w:t>
            </w:r>
            <w:r>
              <w:rPr/>
              <w:t xml:space="preserve"> </w:t>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694,322</w:t>
            </w:r>
          </w:p>
        </w:tc>
        <w:tc>
          <w:tcPr>
            <w:tcW w:w="9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Mink Brook Opportunity Fund LP</w:t>
            </w:r>
            <w:r>
              <w:rPr>
                <w:rFonts w:ascii="Times;serif" w:hAnsi="Times;serif"/>
                <w:color w:val="008000"/>
                <w:position w:val="7"/>
                <w:sz w:val="16"/>
                <w:sz w:val="20"/>
                <w:shd w:fill="FFFFFF" w:val="clear"/>
              </w:rPr>
              <w:t>(3)(4)</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a price of $5.50 inclusive. The reporting person undertakes to provide, upon request by the SEC staff, the issuer, or a security holder of the issuer, full information regarding the number of shares bought at each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securities owned directly by Mink Brook Partners LP (the "Fund"). As the investment manager of the Fund, Mink Brook Asset Management LLC may be deemed to beneficially own the securities owned directly by the Fund.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Mink Brook Asset Management LLC, and the general partner for both funds, Mink Brook Capital GP LLC, disclaims beneficial ownership of the shares reported herein except to the extent of its pecuniary interest therein, and the filing of this Form 4 shall not be construed as an admission that Mink Brook Asset Management LLC, Mink Brook Capital GP LLC or William Mueller as managing member of both, is the beneficial owner of any such shares for purposes of Section 16(a) of the Securities Exchange Act of 1934, as amended,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securities owned directly by Mink Brook Opportunity Fund LP (the "Fund"). As the investment manager of the Fund, Mink Brook Asset Management LLC may be deemed to beneficially own the securities owned directly by the Fund.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Mueller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52205" TargetMode="External"/><Relationship Id="rId5" Type="http://schemas.openxmlformats.org/officeDocument/2006/relationships/hyperlink" Target="http://www.sec.gov/cgi-bin/browse-edgar?action=getcompany&amp;CIK=0000785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816</Words>
  <Characters>4322</Characters>
  <CharactersWithSpaces>5072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