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83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830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Mink Brook Asset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DLH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DLHC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gridSpan w:val="2"/>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06/29/2026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201 SUMMA STREET</w:t>
            </w:r>
          </w:p>
        </w:tc>
        <w:tc>
          <w:tcPr>
            <w:tcW w:w="1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22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WEST PALM</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33405</w:t>
            </w:r>
          </w:p>
        </w:tc>
        <w:tc>
          <w:tcPr>
            <w:tcW w:w="0" w:type="dxa"/>
            <w:vAlign w:val="bottom"/>
          </w:tcPr>
          <w:p>
            <w:pPr>
              <w:spacing w:after="0"/>
              <w:rPr>
                <w:sz w:val="1"/>
                <w:szCs w:val="1"/>
                <w:color w:val="auto"/>
              </w:rPr>
            </w:pPr>
          </w:p>
        </w:tc>
      </w:tr>
      <w:tr>
        <w:trPr>
          <w:trHeight w:val="120"/>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9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84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06/29/2026</w:t>
            </w:r>
          </w:p>
        </w:tc>
        <w:tc>
          <w:tcPr>
            <w:tcW w:w="780" w:type="dxa"/>
            <w:vAlign w:val="bottom"/>
          </w:tcPr>
          <w:p>
            <w:pPr>
              <w:spacing w:after="0"/>
              <w:rPr>
                <w:sz w:val="18"/>
                <w:szCs w:val="18"/>
                <w:color w:val="auto"/>
              </w:rPr>
            </w:pPr>
          </w:p>
        </w:tc>
        <w:tc>
          <w:tcPr>
            <w:tcW w:w="760" w:type="dxa"/>
            <w:vAlign w:val="bottom"/>
            <w:vMerge w:val="restart"/>
          </w:tcPr>
          <w:p>
            <w:pPr>
              <w:ind w:left="66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spacing w:after="0"/>
              <w:rPr>
                <w:sz w:val="18"/>
                <w:szCs w:val="18"/>
                <w:color w:val="auto"/>
              </w:rPr>
            </w:pPr>
          </w:p>
        </w:tc>
        <w:tc>
          <w:tcPr>
            <w:tcW w:w="700" w:type="dxa"/>
            <w:vAlign w:val="bottom"/>
            <w:vMerge w:val="restart"/>
          </w:tcPr>
          <w:p>
            <w:pPr>
              <w:jc w:val="right"/>
              <w:ind w:right="351"/>
              <w:spacing w:after="0"/>
              <w:rPr>
                <w:sz w:val="20"/>
                <w:szCs w:val="20"/>
                <w:color w:val="auto"/>
              </w:rPr>
            </w:pPr>
            <w:r>
              <w:rPr>
                <w:rFonts w:ascii="Times New Roman" w:cs="Times New Roman" w:eastAsia="Times New Roman" w:hAnsi="Times New Roman"/>
                <w:sz w:val="17"/>
                <w:szCs w:val="17"/>
                <w:color w:val="0000FF"/>
              </w:rPr>
              <w:t>640</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81"/>
              </w:rPr>
              <w:t>A</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5.25</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18"/>
                <w:szCs w:val="18"/>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2,117,193</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1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06/30/2026</w:t>
            </w:r>
          </w:p>
        </w:tc>
        <w:tc>
          <w:tcPr>
            <w:tcW w:w="780" w:type="dxa"/>
            <w:vAlign w:val="bottom"/>
          </w:tcPr>
          <w:p>
            <w:pPr>
              <w:spacing w:after="0"/>
              <w:rPr>
                <w:sz w:val="18"/>
                <w:szCs w:val="18"/>
                <w:color w:val="auto"/>
              </w:rPr>
            </w:pPr>
          </w:p>
        </w:tc>
        <w:tc>
          <w:tcPr>
            <w:tcW w:w="760" w:type="dxa"/>
            <w:vAlign w:val="bottom"/>
            <w:vMerge w:val="restart"/>
          </w:tcPr>
          <w:p>
            <w:pPr>
              <w:ind w:left="660"/>
              <w:spacing w:after="0"/>
              <w:rPr>
                <w:sz w:val="20"/>
                <w:szCs w:val="20"/>
                <w:color w:val="auto"/>
              </w:rPr>
            </w:pPr>
            <w:r>
              <w:rPr>
                <w:rFonts w:ascii="Times New Roman" w:cs="Times New Roman" w:eastAsia="Times New Roman" w:hAnsi="Times New Roman"/>
                <w:sz w:val="13"/>
                <w:szCs w:val="13"/>
                <w:color w:val="0000FF"/>
              </w:rPr>
              <w:t>P</w:t>
            </w:r>
          </w:p>
        </w:tc>
        <w:tc>
          <w:tcPr>
            <w:tcW w:w="1440" w:type="dxa"/>
            <w:vAlign w:val="bottom"/>
            <w:gridSpan w:val="2"/>
            <w:vMerge w:val="restart"/>
          </w:tcPr>
          <w:p>
            <w:pPr>
              <w:jc w:val="right"/>
              <w:ind w:right="271"/>
              <w:spacing w:after="0"/>
              <w:rPr>
                <w:sz w:val="20"/>
                <w:szCs w:val="20"/>
                <w:color w:val="auto"/>
              </w:rPr>
            </w:pPr>
            <w:r>
              <w:rPr>
                <w:rFonts w:ascii="Times New Roman" w:cs="Times New Roman" w:eastAsia="Times New Roman" w:hAnsi="Times New Roman"/>
                <w:sz w:val="17"/>
                <w:szCs w:val="17"/>
                <w:color w:val="0000FF"/>
              </w:rPr>
              <w:t>4,543</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81"/>
              </w:rPr>
              <w:t>A</w:t>
            </w: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5.2493</w:t>
            </w:r>
            <w:r>
              <w:rPr>
                <w:rFonts w:ascii="Times New Roman" w:cs="Times New Roman" w:eastAsia="Times New Roman" w:hAnsi="Times New Roman"/>
                <w:sz w:val="22"/>
                <w:szCs w:val="22"/>
                <w:color w:val="008000"/>
                <w:vertAlign w:val="superscript"/>
              </w:rPr>
              <w:t>(4)</w:t>
            </w: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7"/>
                <w:szCs w:val="17"/>
                <w:color w:val="0000FF"/>
              </w:rPr>
              <w:t>2,121,736</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1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80" w:type="dxa"/>
            <w:vAlign w:val="bottom"/>
            <w:gridSpan w:val="3"/>
            <w:vMerge w:val="continue"/>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2"/>
          </w:tcPr>
          <w:p>
            <w:pPr>
              <w:ind w:left="4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By Mink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color w:val="0000FF"/>
              </w:rPr>
              <w:t>694,322</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500" w:type="dxa"/>
            <w:vAlign w:val="bottom"/>
            <w:gridSpan w:val="4"/>
          </w:tcPr>
          <w:p>
            <w:pPr>
              <w:ind w:left="460"/>
              <w:spacing w:after="0"/>
              <w:rPr>
                <w:sz w:val="20"/>
                <w:szCs w:val="20"/>
                <w:color w:val="auto"/>
              </w:rPr>
            </w:pPr>
            <w:r>
              <w:rPr>
                <w:rFonts w:ascii="Times New Roman" w:cs="Times New Roman" w:eastAsia="Times New Roman" w:hAnsi="Times New Roman"/>
                <w:sz w:val="17"/>
                <w:szCs w:val="17"/>
                <w:color w:val="0000FF"/>
              </w:rPr>
              <w:t>Brook</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8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500" w:type="dxa"/>
            <w:vAlign w:val="bottom"/>
            <w:gridSpan w:val="4"/>
            <w:vMerge w:val="restart"/>
          </w:tcPr>
          <w:p>
            <w:pPr>
              <w:ind w:left="46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80" w:type="dxa"/>
            <w:vAlign w:val="bottom"/>
            <w:gridSpan w:val="3"/>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4"/>
            <w:vMerge w:val="restart"/>
          </w:tcPr>
          <w:p>
            <w:pPr>
              <w:ind w:left="460"/>
              <w:spacing w:after="0" w:line="210" w:lineRule="exact"/>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2"/>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94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Expiration</w:t>
            </w:r>
          </w:p>
        </w:tc>
        <w:tc>
          <w:tcPr>
            <w:tcW w:w="1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a price of $5.25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Partners LP (the "Fund"). As the investment manager of the Fund, Mink Brook Asset Management LLC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$5.24 to $5.25 inclusive. The reporting person undertakes to provide, upon request by the SEC staff, the issuer, or a security holder of the issuer, full information regarding the number of shares bought at each price.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Mink Brook Opportunity Fund LP (the "Fund"). As the investment manager of the Fund, Mink Brook Asset Management LLC may be deemed to beneficially own the securities owned directly by the Fund.</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Mueller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06/30/2026</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2205" TargetMode="External"/><Relationship Id="rId14" Type="http://schemas.openxmlformats.org/officeDocument/2006/relationships/hyperlink" Target="http://www.sec.gov/cgi-bin/browse-edgar?action=getcompany&amp;CIK=0000785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2026-06-30T16:09:47Z</dcterms:created>
  <dcterms:modified xsi:type="dcterms:W3CDTF">2026-06-30T16:09:47Z</dcterms:modified>
</cp:coreProperties>
</file>