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5536592.xml.htm"/>
      <w:bookmarkStart w:id="1" w:name="kswkform4a_17855365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07/10/2026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5"/>
        <w:gridCol w:w="900"/>
        <w:gridCol w:w="772"/>
        <w:gridCol w:w="598"/>
        <w:gridCol w:w="339"/>
        <w:gridCol w:w="814"/>
        <w:gridCol w:w="429"/>
        <w:gridCol w:w="877"/>
        <w:gridCol w:w="1290"/>
        <w:gridCol w:w="965"/>
        <w:gridCol w:w="96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5.1255</w:t>
            </w:r>
            <w:r>
              <w:rPr>
                <w:rFonts w:ascii="Times;serif" w:hAnsi="Times;serif"/>
                <w:color w:val="008000"/>
                <w:position w:val="7"/>
                <w:sz w:val="16"/>
                <w:sz w:val="20"/>
                <w:shd w:fill="FFFFFF" w:val="clear"/>
              </w:rPr>
              <w:t>(1)</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2,148,893</w:t>
            </w:r>
            <w:r>
              <w:rPr>
                <w:rFonts w:ascii="Times;serif" w:hAnsi="Times;serif"/>
                <w:color w:val="008000"/>
                <w:position w:val="7"/>
                <w:sz w:val="16"/>
                <w:sz w:val="20"/>
                <w:shd w:fill="FFFFFF" w:val="clear"/>
              </w:rPr>
              <w:t>(2)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(3)(4)</w:t>
            </w:r>
          </w:p>
        </w:tc>
      </w:tr>
      <w:tr>
        <w:trPr/>
        <w:tc>
          <w:tcPr>
            <w:tcW w:w="22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5.0912</w:t>
            </w:r>
            <w:r>
              <w:rPr>
                <w:rFonts w:ascii="Times;serif" w:hAnsi="Times;serif"/>
                <w:color w:val="008000"/>
                <w:position w:val="7"/>
                <w:sz w:val="16"/>
                <w:sz w:val="20"/>
                <w:shd w:fill="FFFFFF" w:val="clear"/>
              </w:rPr>
              <w:t>(5)</w:t>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2,153,893</w:t>
            </w:r>
            <w:r>
              <w:rPr>
                <w:rFonts w:ascii="Times;serif" w:hAnsi="Times;serif"/>
                <w:color w:val="008000"/>
                <w:position w:val="7"/>
                <w:sz w:val="16"/>
                <w:sz w:val="20"/>
                <w:shd w:fill="FFFFFF" w:val="clear"/>
              </w:rPr>
              <w:t>(2)</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$5.07 to $5.15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number of shares owned following this transaction was amended to correct a mathematical error.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purchased in multiple transactions at prices ranging from $5.06 to $5.10 inclusive. The reporting person undertakes to provide, upon request by the SEC staff, the issuer, or a security holder of the issuer, full information regarding the number of shares bought at each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863</Words>
  <Characters>4588</Characters>
  <CharactersWithSpaces>5370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